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B5" w:rsidRPr="00C37AB4" w:rsidRDefault="00C37AB4" w:rsidP="00A91C6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C37AB4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Sprístupňovanie informácií</w:t>
      </w:r>
    </w:p>
    <w:p w:rsidR="00C37AB4" w:rsidRPr="00DD07BB" w:rsidRDefault="00C37AB4" w:rsidP="00C37AB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zmysle zákona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č. 211/2000 Z. z. o slobodnom prístupe k</w:t>
      </w:r>
      <w:r w:rsidR="00782AB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informáciám v znení neskorších predpisov a</w:t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Smernice Tribečsk</w:t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ého múzea v Topoľčanoch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o sprístupňovaní informácií v zmysle zákona NR SR č. 211/2000 Z. z. o slobodnom prístupe k informáciám v znení neskorších predpisov majú občania právo žiadať sprístupnenie informácií.</w:t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C37AB4" w:rsidRPr="00DD07BB" w:rsidRDefault="00C37AB4" w:rsidP="00C37AB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Múzeum sprístupňuje tie informácie, ktoré sú mu dostupné v rámci organizácie a ktoré sa vzťahujú k jeho pôsobnosti a rozsahu činnosti. </w:t>
      </w:r>
    </w:p>
    <w:p w:rsidR="00C37AB4" w:rsidRPr="00C37AB4" w:rsidRDefault="00C37AB4" w:rsidP="005D7A7A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7A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je možné podať:</w:t>
      </w:r>
    </w:p>
    <w:p w:rsidR="00C37AB4" w:rsidRPr="00DD07BB" w:rsidRDefault="00C37AB4" w:rsidP="00C37A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písomne ako poštovú zásielku na adresu: </w:t>
      </w:r>
    </w:p>
    <w:p w:rsidR="00AA0ACD" w:rsidRPr="00DD07BB" w:rsidRDefault="00C37AB4" w:rsidP="00C37A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Tribečsk</w:t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é múzeum v Topoľčanoch, </w:t>
      </w:r>
      <w:proofErr w:type="spellStart"/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Krušovská</w:t>
      </w:r>
      <w:proofErr w:type="spellEnd"/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291/1, 955 01  Topoľčany</w:t>
      </w:r>
    </w:p>
    <w:p w:rsidR="00AA0ACD" w:rsidRPr="00DD07BB" w:rsidRDefault="00AA0ACD" w:rsidP="00C37A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elektronickou</w:t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poštou na a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dresu:</w:t>
      </w:r>
      <w:r w:rsidR="00AD540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sekretariat@tribecskemuzeum.sk</w:t>
      </w:r>
    </w:p>
    <w:p w:rsidR="00AA0ACD" w:rsidRPr="00DD07BB" w:rsidRDefault="00AA0ACD" w:rsidP="00C37A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faxom na tel. číslo 038/5323021</w:t>
      </w:r>
    </w:p>
    <w:p w:rsidR="00AA0ACD" w:rsidRPr="00DD07BB" w:rsidRDefault="00AA0ACD" w:rsidP="00AA0AC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- telefonicky na tel. číslo 038/5323253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osobne v pracovných dňoch v čase od 8.00 do 14.00 h na sekretariáte riaditeľa múzea </w:t>
      </w:r>
    </w:p>
    <w:p w:rsidR="00AA0ACD" w:rsidRPr="00DD07BB" w:rsidRDefault="00AA0ACD" w:rsidP="00AA0AC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37AB4" w:rsidRPr="002A1109" w:rsidRDefault="00AA0ACD" w:rsidP="00AA0ACD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/>
          <w:sz w:val="24"/>
          <w:szCs w:val="24"/>
          <w:lang w:eastAsia="sk-SK"/>
        </w:rPr>
      </w:pPr>
      <w:r w:rsidRPr="005D7A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Formulár na podanie žiadosti</w:t>
      </w:r>
      <w:r w:rsidR="00AB4E6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hyperlink r:id="rId5" w:history="1">
        <w:r w:rsidR="002A1109" w:rsidRPr="002A1109">
          <w:rPr>
            <w:rStyle w:val="Hypertextovprepojeni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sk-SK"/>
          </w:rPr>
          <w:t>https://cdn.swbpg.com/d/7746/iadost-o-poskytnutie-informacie.pdf</w:t>
        </w:r>
      </w:hyperlink>
    </w:p>
    <w:p w:rsidR="00C37AB4" w:rsidRPr="00C37AB4" w:rsidRDefault="00C37AB4" w:rsidP="00AD5409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7A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Žiadosť musí obsahovať nasledovné údaje:</w:t>
      </w:r>
      <w:r w:rsidR="00AD54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E50416" w:rsidRDefault="00C37AB4" w:rsidP="00E5041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E504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musí byť zjavné, že je určená múzeu,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- kto ju podáva (</w:t>
      </w:r>
      <w:r w:rsidR="00E504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meno, priezvisko alebo obchodné meno žiadateľa, jeho adresa pobytu alebo   </w:t>
      </w:r>
    </w:p>
    <w:p w:rsidR="00C37AB4" w:rsidRDefault="00E50416" w:rsidP="00E5041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sídla),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- aké informácie si žiada sprístupniť,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  <w:t>- spôsob, akým sprístupnen</w:t>
      </w:r>
      <w:r w:rsidR="000D617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ie informácie žiadateľ navrhuje.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/>
      </w:r>
      <w:r w:rsidR="000C72C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Žiadosť je podaná dňom</w:t>
      </w:r>
      <w:r w:rsidR="005D7A7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doručenia múzeu.</w:t>
      </w:r>
    </w:p>
    <w:p w:rsidR="00AD5409" w:rsidRPr="00C37AB4" w:rsidRDefault="00AD5409" w:rsidP="00E50416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D5409" w:rsidRDefault="005D7A7A" w:rsidP="00AD540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7A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Lehoty na vybavenie žiadosti</w:t>
      </w:r>
    </w:p>
    <w:p w:rsidR="00C37AB4" w:rsidRPr="00C37AB4" w:rsidRDefault="00C37AB4" w:rsidP="000D617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Informácia sa sprístupní bez zbytočného odkladu, najneskôr do 8 pracovných dní od</w:t>
      </w:r>
      <w:r w:rsidR="00E504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podanie žiadosti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alebo odo dňa odstránenia nedostatkov žiadosti.</w:t>
      </w:r>
      <w:r w:rsidR="00E50416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Lehota na vybavenie žiadosti začína plynúť prvým pracovným dňom po dni doručenia žiadosti. </w:t>
      </w:r>
      <w:r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Lehotu na sprístupnenie informácie možno predĺžiť, najviac však o 8 pracovných dní.</w:t>
      </w:r>
    </w:p>
    <w:p w:rsidR="00AD5409" w:rsidRDefault="00AD5409" w:rsidP="00AD540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D5409" w:rsidRDefault="005D7A7A" w:rsidP="00AD540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D7A7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Opravné prostriedky</w:t>
      </w:r>
      <w:r w:rsidR="00AD54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C37AB4" w:rsidRDefault="005D7A7A" w:rsidP="00AD76A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 prípade, ak múzeum odmietne podať požadovanú informáciu, žiadateľ môže podať odvolanie v lehote 15 dní. O odvolaní rozhoduje riaditeľ múzea do 15 dní od doručenia. 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Rozhodnutie o odmietnutí žiadosti možno preskúmať v súdnom konaní podľa Občianskeho súdneho poriadku.</w:t>
      </w:r>
    </w:p>
    <w:p w:rsidR="00601D55" w:rsidRDefault="00601D55" w:rsidP="00AD540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601D55" w:rsidRPr="00C37AB4" w:rsidRDefault="00601D55" w:rsidP="00AD5409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Rozhodnutie o odmietnutí poskytnúť informáciu </w:t>
      </w:r>
      <w:hyperlink r:id="rId6" w:history="1">
        <w:r w:rsidR="00D346B6" w:rsidRPr="00D346B6">
          <w:rPr>
            <w:rStyle w:val="Hypertextovprepojeni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sk-SK"/>
          </w:rPr>
          <w:t>https://cdn.swbpg.com/d/7746/rozhodnutie-o-odmietnuti.pdf</w:t>
        </w:r>
      </w:hyperlink>
    </w:p>
    <w:p w:rsidR="00AD5409" w:rsidRDefault="00AD5409" w:rsidP="00AA5D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AA5D81" w:rsidRPr="00C37AB4" w:rsidRDefault="00C37AB4" w:rsidP="00AA5D81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123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Úhrada nákladov za sprístupnenie informácie</w:t>
      </w:r>
    </w:p>
    <w:p w:rsidR="00A123EC" w:rsidRDefault="00A123EC" w:rsidP="00A123E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In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formácie sa sprístupňujú bezplatne s výnimkou úhrady, ktorá nesmie prekročiť výšku materiálnych nákladov spojených so zhotovením kópií,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tiež 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so zadovážením technických nosičov a odoslaním informáci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žiadateľovi.</w:t>
      </w:r>
    </w:p>
    <w:p w:rsidR="00A123EC" w:rsidRDefault="00A123EC" w:rsidP="00A123EC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Úhradu určí sekretariát riaditeľa múzea, ktorý informáciu poskytuje podľa platného sadzobníka.</w:t>
      </w:r>
    </w:p>
    <w:p w:rsidR="00AA5D81" w:rsidRDefault="00AA5D81" w:rsidP="00A123E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37AB4" w:rsidRPr="00C37AB4" w:rsidRDefault="00AA5D81" w:rsidP="00A123EC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Sadzobník spoplatňovaných úkonov</w:t>
      </w:r>
    </w:p>
    <w:p w:rsidR="00AA5D81" w:rsidRP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5D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</w:t>
      </w:r>
      <w:r w:rsidR="00C37AB4" w:rsidRPr="00C37A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opírovanie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</w:t>
      </w:r>
      <w:r w:rsidR="00C37AB4" w:rsidRPr="00C37AB4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strana A 4 – čiernobiela kópia </w:t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C37AB4" w:rsidRPr="00C37A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</w:t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</w:t>
      </w:r>
      <w:r w:rsidR="00C37AB4" w:rsidRPr="00C37AB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A5D81" w:rsidRP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A5D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Informácia poskytnutá na disku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CD 1 ks         </w:t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0,50 €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Obálka na CD 1 ks</w:t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0,25 €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A5D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Informácia poskytnutá faxom: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podľa aktuálneho cenníka Slovak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Telekom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a. s.,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plus počet strán fax. </w:t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apiera – 1 str. </w:t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0,25</w:t>
      </w:r>
      <w:r w:rsidR="001E2E1B"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AA5D81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Informácia poskytnutá emailom:</w:t>
      </w:r>
    </w:p>
    <w:p w:rsidR="00AA5D81" w:rsidRPr="001E2E1B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Bežná odpoveď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zdarma</w:t>
      </w:r>
    </w:p>
    <w:p w:rsidR="00AA5D81" w:rsidRPr="001E2E1B" w:rsidRDefault="00AA5D81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Skenované prílohy 1 strana </w:t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="001E2E1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0,15 €</w:t>
      </w:r>
    </w:p>
    <w:p w:rsidR="001E2E1B" w:rsidRP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Informácia poskytnutý poštou: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aktuálneho cenníka Slovenskej pošta, a. s.,</w:t>
      </w:r>
    </w:p>
    <w:p w:rsid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         plus za 1 ks obálky a 1 ks papiera A4</w:t>
      </w:r>
    </w:p>
    <w:p w:rsid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Obálka malá 1 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0,07 €</w:t>
      </w:r>
    </w:p>
    <w:p w:rsidR="001E2E1B" w:rsidRP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Obálka stredná 1 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0,07 €</w:t>
      </w:r>
    </w:p>
    <w:p w:rsidR="001E2E1B" w:rsidRP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Obálka veľká 1 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0,12 €</w:t>
      </w:r>
    </w:p>
    <w:p w:rsid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Papier A4 1 ks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0,15 €</w:t>
      </w:r>
    </w:p>
    <w:p w:rsid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E2E1B" w:rsidRP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Manipulačný poplatok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1E2E1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1,00 €</w:t>
      </w:r>
    </w:p>
    <w:p w:rsidR="001E2E1B" w:rsidRPr="001E2E1B" w:rsidRDefault="001E2E1B" w:rsidP="00AA5D81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                            </w:t>
      </w:r>
    </w:p>
    <w:p w:rsidR="00C37AB4" w:rsidRPr="00C37AB4" w:rsidRDefault="00C37AB4" w:rsidP="00C37AB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D07B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Základné dokumenty</w:t>
      </w:r>
    </w:p>
    <w:p w:rsidR="00C37AB4" w:rsidRPr="00C37AB4" w:rsidRDefault="00C267BE" w:rsidP="00C37AB4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hyperlink r:id="rId7" w:history="1">
        <w:r w:rsidR="00C37AB4" w:rsidRPr="00720171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Zákon č. 211/2000 Z.z. o slobodnom prístupe k informáciám a o zmene a doplnení niektorých zákonov</w:t>
        </w:r>
      </w:hyperlink>
      <w:r w:rsidR="00720171" w:rsidRPr="00720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8" w:history="1">
        <w:r w:rsidR="00B206A5" w:rsidRPr="00B206A5">
          <w:rPr>
            <w:rStyle w:val="Hypertextovprepojeni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sk-SK"/>
          </w:rPr>
          <w:t>https://cdn.swbpg.com/d/7746/zakon-211-2000.pdf</w:t>
        </w:r>
      </w:hyperlink>
    </w:p>
    <w:p w:rsidR="00E66993" w:rsidRPr="00DD07BB" w:rsidRDefault="00AD5409" w:rsidP="00AD5409">
      <w:pPr>
        <w:spacing w:before="100" w:beforeAutospacing="1" w:after="100" w:afterAutospacing="1" w:line="240" w:lineRule="auto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Smernica Tribečského múzea v</w:t>
      </w:r>
      <w:r w:rsidR="00720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Topoľčanoch</w:t>
      </w:r>
      <w:r w:rsidR="0072017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9" w:history="1">
        <w:r w:rsidR="00C65EBD" w:rsidRPr="00C65EBD">
          <w:rPr>
            <w:rStyle w:val="Hypertextovprepojenie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sk-SK"/>
          </w:rPr>
          <w:t>https://cdn.swbpg.com/d/7746/smernica-o-poskytnuti-informacii.pdf</w:t>
        </w:r>
      </w:hyperlink>
    </w:p>
    <w:sectPr w:rsidR="00E66993" w:rsidRPr="00DD07BB" w:rsidSect="00E66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AB4"/>
    <w:rsid w:val="000C72CD"/>
    <w:rsid w:val="000D617B"/>
    <w:rsid w:val="001E2E1B"/>
    <w:rsid w:val="00203462"/>
    <w:rsid w:val="00252772"/>
    <w:rsid w:val="002811A0"/>
    <w:rsid w:val="002A1109"/>
    <w:rsid w:val="005D7A7A"/>
    <w:rsid w:val="00601D55"/>
    <w:rsid w:val="00720171"/>
    <w:rsid w:val="00782AB5"/>
    <w:rsid w:val="007E6CC2"/>
    <w:rsid w:val="008009F6"/>
    <w:rsid w:val="00A123EC"/>
    <w:rsid w:val="00A91C68"/>
    <w:rsid w:val="00AA0ACD"/>
    <w:rsid w:val="00AA5D81"/>
    <w:rsid w:val="00AB4E66"/>
    <w:rsid w:val="00AD5409"/>
    <w:rsid w:val="00AD76AC"/>
    <w:rsid w:val="00B206A5"/>
    <w:rsid w:val="00C267BE"/>
    <w:rsid w:val="00C37AB4"/>
    <w:rsid w:val="00C65EBD"/>
    <w:rsid w:val="00D346B6"/>
    <w:rsid w:val="00DD07BB"/>
    <w:rsid w:val="00DE6F63"/>
    <w:rsid w:val="00E50416"/>
    <w:rsid w:val="00E66993"/>
    <w:rsid w:val="00EF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993"/>
  </w:style>
  <w:style w:type="paragraph" w:styleId="Nadpis2">
    <w:name w:val="heading 2"/>
    <w:basedOn w:val="Normlny"/>
    <w:link w:val="Nadpis2Char"/>
    <w:uiPriority w:val="9"/>
    <w:qFormat/>
    <w:rsid w:val="00C37A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C37A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C37A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37AB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37AB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C37AB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37AB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C37AB4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37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B4E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wbpg.com/d/7746/zakon-211-200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niznicatopolcany.sk/images/documents/Zmluvy_a_fakrury/zakon_211-2000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dn.swbpg.com/d/7746/rozhodnutie-o-odmietnuti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dn.swbpg.com/d/7746/iadost-o-poskytnutie-informacie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dn.swbpg.com/d/7746/smernica-o-poskytnuti-informacii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E42F-2484-454A-BB20-175843210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Grafik</cp:lastModifiedBy>
  <cp:revision>27</cp:revision>
  <dcterms:created xsi:type="dcterms:W3CDTF">2021-09-17T05:41:00Z</dcterms:created>
  <dcterms:modified xsi:type="dcterms:W3CDTF">2021-09-21T07:21:00Z</dcterms:modified>
</cp:coreProperties>
</file>